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A60D90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A60D90"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76.4pt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Default="00786D2E" w:rsidP="00203DAE">
      <w:pPr>
        <w:spacing w:before="120"/>
        <w:ind w:left="567" w:right="567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>Secretariado Ejecutivo</w:t>
      </w:r>
    </w:p>
    <w:p w:rsidR="00786D2E" w:rsidRPr="007B6DE1" w:rsidRDefault="00786D2E" w:rsidP="00D1547C">
      <w:pPr>
        <w:numPr>
          <w:ilvl w:val="0"/>
          <w:numId w:val="39"/>
        </w:numPr>
        <w:tabs>
          <w:tab w:val="left" w:pos="851"/>
        </w:tabs>
        <w:spacing w:before="120" w:after="120"/>
        <w:ind w:left="851" w:right="567" w:hanging="284"/>
        <w:rPr>
          <w:rFonts w:cs="Arial"/>
          <w:b/>
          <w:szCs w:val="22"/>
          <w:lang w:eastAsia="es-AR"/>
        </w:rPr>
      </w:pPr>
      <w:r w:rsidRPr="007B6DE1">
        <w:rPr>
          <w:rFonts w:cs="Arial"/>
          <w:b/>
          <w:szCs w:val="22"/>
          <w:lang w:eastAsia="es-AR"/>
        </w:rPr>
        <w:t>La empresa</w:t>
      </w:r>
      <w:r w:rsidR="001455E5" w:rsidRPr="007B6DE1">
        <w:rPr>
          <w:rFonts w:cs="Arial"/>
          <w:b/>
          <w:szCs w:val="22"/>
          <w:lang w:eastAsia="es-AR"/>
        </w:rPr>
        <w:t xml:space="preserve"> y la actividad empresarial</w:t>
      </w:r>
    </w:p>
    <w:p w:rsidR="00575B77" w:rsidRPr="007B6DE1" w:rsidRDefault="00575B77" w:rsidP="00575B77">
      <w:pPr>
        <w:numPr>
          <w:ilvl w:val="0"/>
          <w:numId w:val="38"/>
        </w:numPr>
        <w:tabs>
          <w:tab w:val="left" w:pos="851"/>
        </w:tabs>
        <w:spacing w:before="120" w:after="120"/>
        <w:ind w:left="851" w:right="567" w:hanging="284"/>
        <w:rPr>
          <w:rFonts w:cs="Arial"/>
          <w:szCs w:val="22"/>
          <w:lang w:eastAsia="es-AR"/>
        </w:rPr>
        <w:sectPr w:rsidR="00575B77" w:rsidRPr="007B6DE1" w:rsidSect="004720DF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786D2E" w:rsidRPr="00962472" w:rsidRDefault="00786D2E" w:rsidP="00575B77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>Concepto de empresa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Clasificación de las empresas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Características de las empresas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Valores y objetivos de las empresas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Introducción a la actividad empresarial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>Propósito de la actividad empresarial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Factores de producción de una empresa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Componentes básicos de una empresa</w:t>
      </w:r>
    </w:p>
    <w:p w:rsidR="00786D2E" w:rsidRPr="00962472" w:rsidRDefault="00786D2E" w:rsidP="00575B77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Los aspectos a analizar en la organización de una empresa</w:t>
      </w:r>
    </w:p>
    <w:p w:rsidR="00575B77" w:rsidRPr="00962472" w:rsidRDefault="00575B77" w:rsidP="00786D2E">
      <w:pPr>
        <w:spacing w:before="80" w:after="80"/>
        <w:ind w:left="567" w:right="567"/>
        <w:rPr>
          <w:rFonts w:cs="Arial"/>
          <w:b/>
          <w:sz w:val="20"/>
          <w:szCs w:val="22"/>
          <w:lang w:eastAsia="es-AR"/>
        </w:rPr>
        <w:sectPr w:rsidR="00575B77" w:rsidRPr="00962472" w:rsidSect="00575B77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786D2E" w:rsidRPr="007B6DE1" w:rsidRDefault="00575B77" w:rsidP="00962472">
      <w:pPr>
        <w:numPr>
          <w:ilvl w:val="0"/>
          <w:numId w:val="39"/>
        </w:numPr>
        <w:tabs>
          <w:tab w:val="left" w:pos="851"/>
        </w:tabs>
        <w:spacing w:before="160"/>
        <w:ind w:left="851" w:right="567" w:hanging="284"/>
        <w:rPr>
          <w:rFonts w:cs="Arial"/>
          <w:b/>
          <w:spacing w:val="-4"/>
          <w:szCs w:val="22"/>
          <w:lang w:eastAsia="es-AR"/>
        </w:rPr>
      </w:pPr>
      <w:r w:rsidRPr="007B6DE1">
        <w:rPr>
          <w:rFonts w:cs="Arial"/>
          <w:b/>
          <w:spacing w:val="-4"/>
          <w:szCs w:val="22"/>
          <w:lang w:eastAsia="es-AR"/>
        </w:rPr>
        <w:lastRenderedPageBreak/>
        <w:t>La o</w:t>
      </w:r>
      <w:r w:rsidR="00786D2E" w:rsidRPr="007B6DE1">
        <w:rPr>
          <w:rFonts w:cs="Arial"/>
          <w:b/>
          <w:spacing w:val="-4"/>
          <w:szCs w:val="22"/>
          <w:lang w:eastAsia="es-AR"/>
        </w:rPr>
        <w:t>rganización</w:t>
      </w:r>
      <w:r w:rsidRPr="007B6DE1">
        <w:rPr>
          <w:rFonts w:cs="Arial"/>
          <w:b/>
          <w:spacing w:val="-4"/>
          <w:szCs w:val="22"/>
          <w:lang w:eastAsia="es-AR"/>
        </w:rPr>
        <w:t>, la administración y la registración contable</w:t>
      </w:r>
      <w:r w:rsidR="00786D2E" w:rsidRPr="007B6DE1">
        <w:rPr>
          <w:rFonts w:cs="Arial"/>
          <w:b/>
          <w:spacing w:val="-4"/>
          <w:szCs w:val="22"/>
          <w:lang w:eastAsia="es-AR"/>
        </w:rPr>
        <w:t xml:space="preserve"> de una empresa</w:t>
      </w:r>
    </w:p>
    <w:p w:rsidR="00575B77" w:rsidRPr="007B6DE1" w:rsidRDefault="00575B77" w:rsidP="007B6DE1">
      <w:pPr>
        <w:numPr>
          <w:ilvl w:val="0"/>
          <w:numId w:val="39"/>
        </w:numPr>
        <w:tabs>
          <w:tab w:val="left" w:pos="851"/>
        </w:tabs>
        <w:spacing w:before="120" w:after="120"/>
        <w:ind w:left="851" w:right="567" w:hanging="284"/>
        <w:rPr>
          <w:rFonts w:cs="Arial"/>
          <w:b/>
          <w:szCs w:val="22"/>
          <w:lang w:eastAsia="es-AR"/>
        </w:rPr>
        <w:sectPr w:rsidR="00575B77" w:rsidRPr="007B6DE1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786D2E" w:rsidRPr="00962472" w:rsidRDefault="00786D2E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>Cultura organizacional de las empresas</w:t>
      </w:r>
    </w:p>
    <w:p w:rsidR="00786D2E" w:rsidRPr="00962472" w:rsidRDefault="00786D2E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La integración</w:t>
      </w:r>
    </w:p>
    <w:p w:rsidR="00786D2E" w:rsidRPr="00962472" w:rsidRDefault="00786D2E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La gerencia</w:t>
      </w:r>
    </w:p>
    <w:p w:rsidR="00786D2E" w:rsidRPr="00962472" w:rsidRDefault="00786D2E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La comunicación</w:t>
      </w:r>
    </w:p>
    <w:p w:rsidR="00786D2E" w:rsidRPr="00962472" w:rsidRDefault="00786D2E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El control</w:t>
      </w:r>
    </w:p>
    <w:p w:rsidR="00575B77" w:rsidRPr="00962472" w:rsidRDefault="00575B77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Administración de empresas</w:t>
      </w:r>
    </w:p>
    <w:p w:rsidR="00575B77" w:rsidRPr="00962472" w:rsidRDefault="00575B77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Teorías administrativas y sus principales enfoques</w:t>
      </w:r>
    </w:p>
    <w:p w:rsidR="00575B77" w:rsidRPr="00962472" w:rsidRDefault="00575B77" w:rsidP="00962472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>Tipos de administración y sus principales enfoques</w:t>
      </w:r>
    </w:p>
    <w:p w:rsidR="00786D2E" w:rsidRPr="00962472" w:rsidRDefault="00786D2E" w:rsidP="00962472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Fundamentos matemáticos y concepto de contabilidad</w:t>
      </w:r>
    </w:p>
    <w:p w:rsidR="00786D2E" w:rsidRPr="00962472" w:rsidRDefault="00786D2E" w:rsidP="00962472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Los entes en contabilidad</w:t>
      </w:r>
    </w:p>
    <w:p w:rsidR="00786D2E" w:rsidRPr="00962472" w:rsidRDefault="00786D2E" w:rsidP="00962472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Patrimonio y resultados</w:t>
      </w:r>
    </w:p>
    <w:p w:rsidR="00786D2E" w:rsidRPr="00962472" w:rsidRDefault="00786D2E" w:rsidP="00962472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Teoría general de las cuentas</w:t>
      </w:r>
    </w:p>
    <w:p w:rsidR="00575B77" w:rsidRPr="00962472" w:rsidRDefault="00575B77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  <w:sectPr w:rsidR="00575B77" w:rsidRPr="00962472" w:rsidSect="00575B77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575B77" w:rsidRPr="007B6DE1" w:rsidRDefault="00575B77" w:rsidP="00962472">
      <w:pPr>
        <w:numPr>
          <w:ilvl w:val="0"/>
          <w:numId w:val="39"/>
        </w:numPr>
        <w:tabs>
          <w:tab w:val="left" w:pos="851"/>
        </w:tabs>
        <w:spacing w:before="160"/>
        <w:ind w:left="851" w:right="567" w:hanging="284"/>
        <w:rPr>
          <w:rFonts w:cs="Arial"/>
          <w:b/>
          <w:szCs w:val="22"/>
          <w:lang w:eastAsia="es-AR"/>
        </w:rPr>
      </w:pPr>
      <w:r w:rsidRPr="00962472">
        <w:rPr>
          <w:rFonts w:cs="Arial"/>
          <w:b/>
          <w:spacing w:val="-4"/>
          <w:szCs w:val="22"/>
          <w:lang w:eastAsia="es-AR"/>
        </w:rPr>
        <w:lastRenderedPageBreak/>
        <w:t>Competencias</w:t>
      </w:r>
      <w:r w:rsidRPr="007B6DE1">
        <w:rPr>
          <w:rFonts w:cs="Arial"/>
          <w:b/>
          <w:szCs w:val="22"/>
          <w:lang w:eastAsia="es-AR"/>
        </w:rPr>
        <w:t xml:space="preserve"> conversacionales: Comunicación de alto impacto</w:t>
      </w:r>
    </w:p>
    <w:p w:rsidR="00285A4B" w:rsidRPr="007B6DE1" w:rsidRDefault="00285A4B" w:rsidP="007B6DE1">
      <w:pPr>
        <w:numPr>
          <w:ilvl w:val="0"/>
          <w:numId w:val="39"/>
        </w:numPr>
        <w:tabs>
          <w:tab w:val="left" w:pos="851"/>
        </w:tabs>
        <w:spacing w:before="120" w:after="120"/>
        <w:ind w:left="851" w:right="567" w:hanging="284"/>
        <w:rPr>
          <w:rFonts w:cs="Arial"/>
          <w:b/>
          <w:szCs w:val="22"/>
          <w:lang w:eastAsia="es-AR"/>
        </w:rPr>
        <w:sectPr w:rsidR="00285A4B" w:rsidRPr="007B6DE1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 xml:space="preserve">Afirmaciones y declaraciones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Algunas declaraciones fundamentales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Sobre la relación entre afirmaciones y declaraciones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distinción de “inquietud” </w:t>
      </w:r>
    </w:p>
    <w:p w:rsidR="001455E5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La danza de las promesas: sobre peticiones y ofertas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El papel generativo del lenguaje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Los juicios y la estructura de la temporalidad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Cómo se fundan los juicios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doble cara de los juicios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Los juicios y el dominio de la ética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Juicios y formas de ser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Más allá de lo bueno y de lo malo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Los juicios y el sufrimiento humano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Una cuestión de confianza </w:t>
      </w:r>
    </w:p>
    <w:p w:rsidR="001455E5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Hacia una ética fundada en el respeto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falacia de la transmisión de información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Escuchar no es oír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 xml:space="preserve">Desde lo descriptivo a lo generativo del lenguaje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Las acciones comprendidas en el hablar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El supuesto de «intención» para dar sentido a nuestras acciones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solución ofrecida por Freud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Cuestionamiento del concepto de intención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De intenciones a inquietudes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matriz básica del escuchar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El ámbito de la acción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El ámbito de las inquietudes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El ámbito de lo posible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El ámbito del alma humana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Apertura: la postura fundamental del escuchar </w:t>
      </w:r>
    </w:p>
    <w:p w:rsidR="00575B77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Una manera de ser que permite muchas maneras de ser </w:t>
      </w:r>
    </w:p>
    <w:p w:rsidR="001455E5" w:rsidRPr="00962472" w:rsidRDefault="001455E5" w:rsidP="00285A4B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>Dominios de observación para desarrollar un escuchar efectivo</w:t>
      </w:r>
    </w:p>
    <w:p w:rsidR="00285A4B" w:rsidRPr="007B6DE1" w:rsidRDefault="00285A4B" w:rsidP="00285A4B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  <w:sectPr w:rsidR="00285A4B" w:rsidRPr="007B6DE1" w:rsidSect="00285A4B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285A4B" w:rsidRPr="00CA663C" w:rsidRDefault="00D1547C" w:rsidP="00D1547C">
      <w:pPr>
        <w:numPr>
          <w:ilvl w:val="0"/>
          <w:numId w:val="39"/>
        </w:numPr>
        <w:tabs>
          <w:tab w:val="left" w:pos="851"/>
        </w:tabs>
        <w:spacing w:before="120" w:after="120"/>
        <w:ind w:left="851" w:right="567" w:hanging="284"/>
        <w:rPr>
          <w:rFonts w:cs="Arial"/>
          <w:b/>
          <w:szCs w:val="22"/>
          <w:lang w:eastAsia="es-AR"/>
        </w:rPr>
      </w:pPr>
      <w:r w:rsidRPr="00CA663C">
        <w:rPr>
          <w:rFonts w:cs="Arial"/>
          <w:b/>
          <w:szCs w:val="22"/>
          <w:lang w:eastAsia="es-AR"/>
        </w:rPr>
        <w:lastRenderedPageBreak/>
        <w:t>Primera parte</w:t>
      </w:r>
      <w:r w:rsidR="00B866C4" w:rsidRPr="00CA663C">
        <w:rPr>
          <w:rFonts w:cs="Arial"/>
          <w:b/>
          <w:szCs w:val="22"/>
          <w:lang w:eastAsia="es-AR"/>
        </w:rPr>
        <w:t>.</w:t>
      </w:r>
      <w:r w:rsidRPr="00CA663C">
        <w:rPr>
          <w:rFonts w:cs="Arial"/>
          <w:b/>
          <w:szCs w:val="22"/>
          <w:lang w:eastAsia="es-AR"/>
        </w:rPr>
        <w:t xml:space="preserve"> </w:t>
      </w:r>
      <w:r w:rsidR="00285A4B" w:rsidRPr="00CA663C">
        <w:rPr>
          <w:rFonts w:cs="Arial"/>
          <w:b/>
          <w:szCs w:val="22"/>
          <w:lang w:eastAsia="es-AR"/>
        </w:rPr>
        <w:t>Marketing Interno y la Comunicación en la Práctica</w:t>
      </w:r>
    </w:p>
    <w:p w:rsidR="00B866C4" w:rsidRPr="00CA663C" w:rsidRDefault="00B866C4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Cs w:val="22"/>
          <w:lang w:eastAsia="es-AR"/>
        </w:rPr>
        <w:sectPr w:rsidR="00B866C4" w:rsidRPr="00CA663C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285A4B" w:rsidRPr="00962472" w:rsidRDefault="00285A4B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 xml:space="preserve">Introducción  </w:t>
      </w:r>
    </w:p>
    <w:p w:rsidR="00285A4B" w:rsidRPr="00962472" w:rsidRDefault="00285A4B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Marketing interno  </w:t>
      </w:r>
    </w:p>
    <w:p w:rsidR="00285A4B" w:rsidRPr="00962472" w:rsidRDefault="00285A4B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Concepto y analogía con el marketing externo  </w:t>
      </w:r>
    </w:p>
    <w:p w:rsidR="00285A4B" w:rsidRPr="00962472" w:rsidRDefault="00285A4B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Etapas de un plan de marketing interno  </w:t>
      </w:r>
    </w:p>
    <w:p w:rsidR="00285A4B" w:rsidRPr="00962472" w:rsidRDefault="00285A4B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Comunicación  </w:t>
      </w:r>
    </w:p>
    <w:p w:rsidR="00285A4B" w:rsidRPr="00962472" w:rsidRDefault="00285A4B" w:rsidP="004E01A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 xml:space="preserve">La naturaleza de la comunicación humana  </w:t>
      </w:r>
    </w:p>
    <w:p w:rsidR="00285A4B" w:rsidRPr="00962472" w:rsidRDefault="00285A4B" w:rsidP="004E01A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comunicación como un proceso de organización  </w:t>
      </w:r>
    </w:p>
    <w:p w:rsidR="00285A4B" w:rsidRPr="00962472" w:rsidRDefault="00285A4B" w:rsidP="004E01A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Significado e información  </w:t>
      </w:r>
    </w:p>
    <w:p w:rsidR="00285A4B" w:rsidRPr="00962472" w:rsidRDefault="00285A4B" w:rsidP="004E01A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La comunicación y la percepción  </w:t>
      </w:r>
    </w:p>
    <w:p w:rsidR="00285A4B" w:rsidRPr="00962472" w:rsidRDefault="00285A4B" w:rsidP="00CA663C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Información de contenido y de relación  </w:t>
      </w:r>
    </w:p>
    <w:p w:rsidR="00285A4B" w:rsidRPr="00962472" w:rsidRDefault="00285A4B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 xml:space="preserve">Sistemas de mensajes de la comunicación humana  </w:t>
      </w:r>
    </w:p>
    <w:p w:rsidR="00285A4B" w:rsidRPr="00962472" w:rsidRDefault="00285A4B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Sistemas de mensajes verbales  </w:t>
      </w:r>
    </w:p>
    <w:p w:rsidR="00285A4B" w:rsidRPr="00962472" w:rsidRDefault="00285A4B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Sistemas de mensajes no verbales  </w:t>
      </w:r>
    </w:p>
    <w:p w:rsidR="00285A4B" w:rsidRPr="00962472" w:rsidRDefault="00285A4B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Niveles de comunicación en las organizaciones  </w:t>
      </w:r>
    </w:p>
    <w:p w:rsidR="00285A4B" w:rsidRPr="00962472" w:rsidRDefault="00285A4B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Comunicación </w:t>
      </w:r>
      <w:proofErr w:type="spellStart"/>
      <w:r w:rsidRPr="00962472">
        <w:rPr>
          <w:rFonts w:cs="Arial"/>
          <w:sz w:val="20"/>
          <w:szCs w:val="22"/>
          <w:lang w:eastAsia="es-AR"/>
        </w:rPr>
        <w:t>Intrapersonal</w:t>
      </w:r>
      <w:proofErr w:type="spellEnd"/>
      <w:r w:rsidRPr="00962472">
        <w:rPr>
          <w:rFonts w:cs="Arial"/>
          <w:sz w:val="20"/>
          <w:szCs w:val="22"/>
          <w:lang w:eastAsia="es-AR"/>
        </w:rPr>
        <w:t xml:space="preserve">  </w:t>
      </w:r>
    </w:p>
    <w:p w:rsidR="00285A4B" w:rsidRPr="00962472" w:rsidRDefault="00285A4B" w:rsidP="00B866C4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lastRenderedPageBreak/>
        <w:t xml:space="preserve">Comunicación Interpersonal  </w:t>
      </w:r>
    </w:p>
    <w:p w:rsidR="00285A4B" w:rsidRPr="00962472" w:rsidRDefault="00285A4B" w:rsidP="00B866C4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Comunicación de Grupos Pequeños  </w:t>
      </w:r>
    </w:p>
    <w:p w:rsidR="00285A4B" w:rsidRPr="00962472" w:rsidRDefault="00285A4B" w:rsidP="00B866C4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Comunicación </w:t>
      </w:r>
      <w:proofErr w:type="spellStart"/>
      <w:r w:rsidRPr="00962472">
        <w:rPr>
          <w:rFonts w:cs="Arial"/>
          <w:sz w:val="20"/>
          <w:szCs w:val="22"/>
          <w:lang w:eastAsia="es-AR"/>
        </w:rPr>
        <w:t>Multigrupos</w:t>
      </w:r>
      <w:proofErr w:type="spellEnd"/>
      <w:r w:rsidRPr="00962472">
        <w:rPr>
          <w:rFonts w:cs="Arial"/>
          <w:sz w:val="20"/>
          <w:szCs w:val="22"/>
          <w:lang w:eastAsia="es-AR"/>
        </w:rPr>
        <w:t xml:space="preserve">  </w:t>
      </w:r>
    </w:p>
    <w:p w:rsidR="0094462E" w:rsidRPr="00962472" w:rsidRDefault="00285A4B" w:rsidP="00AE44D0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962472">
        <w:rPr>
          <w:rFonts w:cs="Arial"/>
          <w:sz w:val="20"/>
          <w:szCs w:val="22"/>
          <w:lang w:eastAsia="es-AR"/>
        </w:rPr>
        <w:t xml:space="preserve">Comunicación Pública y Comunicación Masiva  </w:t>
      </w:r>
    </w:p>
    <w:p w:rsidR="00B866C4" w:rsidRPr="007B6DE1" w:rsidRDefault="00B866C4" w:rsidP="00B866C4">
      <w:pPr>
        <w:pStyle w:val="Prrafodelista"/>
        <w:numPr>
          <w:ilvl w:val="0"/>
          <w:numId w:val="42"/>
        </w:numPr>
        <w:tabs>
          <w:tab w:val="left" w:pos="851"/>
        </w:tabs>
        <w:spacing w:before="120" w:after="120"/>
        <w:ind w:right="567"/>
        <w:rPr>
          <w:rFonts w:cs="Arial"/>
          <w:b/>
          <w:vanish/>
          <w:sz w:val="22"/>
          <w:szCs w:val="22"/>
          <w:lang w:eastAsia="es-AR"/>
        </w:rPr>
        <w:sectPr w:rsidR="00B866C4" w:rsidRPr="007B6DE1" w:rsidSect="00B866C4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B866C4" w:rsidRPr="007B6DE1" w:rsidRDefault="00B866C4" w:rsidP="00B866C4">
      <w:pPr>
        <w:pStyle w:val="Prrafodelista"/>
        <w:numPr>
          <w:ilvl w:val="0"/>
          <w:numId w:val="42"/>
        </w:numPr>
        <w:tabs>
          <w:tab w:val="left" w:pos="851"/>
        </w:tabs>
        <w:spacing w:before="120" w:after="120"/>
        <w:ind w:right="567"/>
        <w:rPr>
          <w:rFonts w:cs="Arial"/>
          <w:b/>
          <w:vanish/>
          <w:sz w:val="22"/>
          <w:szCs w:val="22"/>
          <w:lang w:eastAsia="es-AR"/>
        </w:rPr>
      </w:pPr>
    </w:p>
    <w:p w:rsidR="00B866C4" w:rsidRPr="007B6DE1" w:rsidRDefault="00B866C4" w:rsidP="00B866C4">
      <w:pPr>
        <w:pStyle w:val="Prrafodelista"/>
        <w:numPr>
          <w:ilvl w:val="0"/>
          <w:numId w:val="42"/>
        </w:numPr>
        <w:tabs>
          <w:tab w:val="left" w:pos="851"/>
        </w:tabs>
        <w:spacing w:before="120" w:after="120"/>
        <w:ind w:right="567"/>
        <w:rPr>
          <w:rFonts w:cs="Arial"/>
          <w:b/>
          <w:vanish/>
          <w:sz w:val="22"/>
          <w:szCs w:val="22"/>
          <w:lang w:eastAsia="es-AR"/>
        </w:rPr>
      </w:pPr>
    </w:p>
    <w:p w:rsidR="00B866C4" w:rsidRPr="007B6DE1" w:rsidRDefault="00B866C4" w:rsidP="00B866C4">
      <w:pPr>
        <w:pStyle w:val="Prrafodelista"/>
        <w:numPr>
          <w:ilvl w:val="0"/>
          <w:numId w:val="42"/>
        </w:numPr>
        <w:tabs>
          <w:tab w:val="left" w:pos="851"/>
        </w:tabs>
        <w:spacing w:before="120" w:after="120"/>
        <w:ind w:right="567"/>
        <w:rPr>
          <w:rFonts w:cs="Arial"/>
          <w:b/>
          <w:vanish/>
          <w:sz w:val="22"/>
          <w:szCs w:val="22"/>
          <w:lang w:eastAsia="es-AR"/>
        </w:rPr>
      </w:pPr>
    </w:p>
    <w:p w:rsidR="00D1547C" w:rsidRPr="00CA663C" w:rsidRDefault="00B866C4" w:rsidP="00B866C4">
      <w:pPr>
        <w:numPr>
          <w:ilvl w:val="0"/>
          <w:numId w:val="42"/>
        </w:numPr>
        <w:tabs>
          <w:tab w:val="left" w:pos="851"/>
        </w:tabs>
        <w:spacing w:before="120" w:after="120"/>
        <w:ind w:left="851" w:right="567" w:hanging="284"/>
        <w:rPr>
          <w:rFonts w:cs="Arial"/>
          <w:b/>
          <w:szCs w:val="22"/>
          <w:lang w:eastAsia="es-AR"/>
        </w:rPr>
      </w:pPr>
      <w:r w:rsidRPr="00CA663C">
        <w:rPr>
          <w:rFonts w:cs="Arial"/>
          <w:b/>
          <w:szCs w:val="22"/>
          <w:lang w:eastAsia="es-AR"/>
        </w:rPr>
        <w:t xml:space="preserve">Segunda parte. </w:t>
      </w:r>
      <w:r w:rsidR="00D1547C" w:rsidRPr="00CA663C">
        <w:rPr>
          <w:rFonts w:cs="Arial"/>
          <w:b/>
          <w:szCs w:val="22"/>
          <w:lang w:eastAsia="es-AR"/>
        </w:rPr>
        <w:t>Acompañamiento a la gerencia en la toma de decisiones</w:t>
      </w:r>
    </w:p>
    <w:p w:rsidR="007B6DE1" w:rsidRPr="00CA663C" w:rsidRDefault="007B6DE1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Cs w:val="22"/>
          <w:lang w:eastAsia="es-AR"/>
        </w:rPr>
        <w:sectPr w:rsidR="007B6DE1" w:rsidRPr="00CA663C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1547C" w:rsidRPr="004E01A1" w:rsidRDefault="00D1547C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lastRenderedPageBreak/>
        <w:t xml:space="preserve"> Introducción  </w:t>
      </w:r>
    </w:p>
    <w:p w:rsidR="00D1547C" w:rsidRPr="004E01A1" w:rsidRDefault="00D1547C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El aporte de Herbert </w:t>
      </w:r>
      <w:proofErr w:type="spellStart"/>
      <w:r w:rsidRPr="004E01A1">
        <w:rPr>
          <w:rFonts w:cs="Arial"/>
          <w:sz w:val="20"/>
          <w:szCs w:val="22"/>
          <w:lang w:eastAsia="es-AR"/>
        </w:rPr>
        <w:t>Simon</w:t>
      </w:r>
      <w:proofErr w:type="spellEnd"/>
      <w:r w:rsidRPr="004E01A1">
        <w:rPr>
          <w:rFonts w:cs="Arial"/>
          <w:sz w:val="20"/>
          <w:szCs w:val="22"/>
          <w:lang w:eastAsia="es-AR"/>
        </w:rPr>
        <w:t xml:space="preserve">  </w:t>
      </w:r>
    </w:p>
    <w:p w:rsidR="00D1547C" w:rsidRPr="004E01A1" w:rsidRDefault="00D1547C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La toma de decisiones en la organización</w:t>
      </w:r>
      <w:r w:rsidR="00B866C4" w:rsidRPr="004E01A1">
        <w:rPr>
          <w:rFonts w:cs="Arial"/>
          <w:sz w:val="20"/>
          <w:szCs w:val="22"/>
          <w:lang w:eastAsia="es-AR"/>
        </w:rPr>
        <w:t xml:space="preserve"> </w:t>
      </w:r>
      <w:r w:rsidRPr="004E01A1">
        <w:rPr>
          <w:rFonts w:cs="Arial"/>
          <w:sz w:val="20"/>
          <w:szCs w:val="22"/>
          <w:lang w:eastAsia="es-AR"/>
        </w:rPr>
        <w:t xml:space="preserve">administrativa  </w:t>
      </w:r>
    </w:p>
    <w:p w:rsidR="00D1547C" w:rsidRPr="004E01A1" w:rsidRDefault="00D1547C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Los límites de la racionalidad  </w:t>
      </w:r>
    </w:p>
    <w:p w:rsidR="00D1547C" w:rsidRPr="004E01A1" w:rsidRDefault="00D1547C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El comportamiento grupal en las organizaciones  </w:t>
      </w:r>
    </w:p>
    <w:p w:rsidR="00D1547C" w:rsidRPr="004E01A1" w:rsidRDefault="00D1547C" w:rsidP="00D1547C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Decisiones tácticas y estratégicas  </w:t>
      </w:r>
    </w:p>
    <w:p w:rsidR="007B6DE1" w:rsidRPr="004E01A1" w:rsidRDefault="00D1547C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Metodologías para la toma de decisiones  </w:t>
      </w:r>
    </w:p>
    <w:p w:rsidR="00D1547C" w:rsidRPr="004E01A1" w:rsidRDefault="007B6DE1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br w:type="column"/>
      </w:r>
      <w:r w:rsidR="00D1547C" w:rsidRPr="004E01A1">
        <w:rPr>
          <w:rFonts w:cs="Arial"/>
          <w:sz w:val="20"/>
          <w:szCs w:val="22"/>
          <w:lang w:eastAsia="es-AR"/>
        </w:rPr>
        <w:lastRenderedPageBreak/>
        <w:t xml:space="preserve">Metodología Clásica de Peter </w:t>
      </w:r>
      <w:proofErr w:type="spellStart"/>
      <w:r w:rsidR="00D1547C" w:rsidRPr="004E01A1">
        <w:rPr>
          <w:rFonts w:cs="Arial"/>
          <w:sz w:val="20"/>
          <w:szCs w:val="22"/>
          <w:lang w:eastAsia="es-AR"/>
        </w:rPr>
        <w:t>Drucker</w:t>
      </w:r>
      <w:proofErr w:type="spellEnd"/>
      <w:r w:rsidR="00D1547C" w:rsidRPr="004E01A1">
        <w:rPr>
          <w:rFonts w:cs="Arial"/>
          <w:sz w:val="20"/>
          <w:szCs w:val="22"/>
          <w:lang w:eastAsia="es-AR"/>
        </w:rPr>
        <w:t xml:space="preserve">  </w:t>
      </w:r>
    </w:p>
    <w:p w:rsidR="00D1547C" w:rsidRPr="004E01A1" w:rsidRDefault="00D1547C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Metodología basada en la Teoría del Conflicto</w:t>
      </w:r>
      <w:r w:rsidR="00B866C4" w:rsidRPr="004E01A1">
        <w:rPr>
          <w:rFonts w:cs="Arial"/>
          <w:sz w:val="20"/>
          <w:szCs w:val="22"/>
          <w:lang w:eastAsia="es-AR"/>
        </w:rPr>
        <w:t xml:space="preserve"> </w:t>
      </w:r>
      <w:r w:rsidRPr="004E01A1">
        <w:rPr>
          <w:rFonts w:cs="Arial"/>
          <w:sz w:val="20"/>
          <w:szCs w:val="22"/>
          <w:lang w:eastAsia="es-AR"/>
        </w:rPr>
        <w:t xml:space="preserve">de Irving </w:t>
      </w:r>
      <w:proofErr w:type="spellStart"/>
      <w:r w:rsidRPr="004E01A1">
        <w:rPr>
          <w:rFonts w:cs="Arial"/>
          <w:sz w:val="20"/>
          <w:szCs w:val="22"/>
          <w:lang w:eastAsia="es-AR"/>
        </w:rPr>
        <w:t>Janis</w:t>
      </w:r>
      <w:proofErr w:type="spellEnd"/>
      <w:r w:rsidRPr="004E01A1">
        <w:rPr>
          <w:rFonts w:cs="Arial"/>
          <w:sz w:val="20"/>
          <w:szCs w:val="22"/>
          <w:lang w:eastAsia="es-AR"/>
        </w:rPr>
        <w:t xml:space="preserve">  </w:t>
      </w:r>
    </w:p>
    <w:p w:rsidR="00D1547C" w:rsidRPr="004E01A1" w:rsidRDefault="00D1547C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Metodología basada en el Esquema de Ideas</w:t>
      </w:r>
      <w:r w:rsidR="00B866C4" w:rsidRPr="004E01A1">
        <w:rPr>
          <w:rFonts w:cs="Arial"/>
          <w:sz w:val="20"/>
          <w:szCs w:val="22"/>
          <w:lang w:eastAsia="es-AR"/>
        </w:rPr>
        <w:t xml:space="preserve"> </w:t>
      </w:r>
      <w:r w:rsidRPr="004E01A1">
        <w:rPr>
          <w:rFonts w:cs="Arial"/>
          <w:sz w:val="20"/>
          <w:szCs w:val="22"/>
          <w:lang w:eastAsia="es-AR"/>
        </w:rPr>
        <w:t xml:space="preserve">de Charles Thompson  </w:t>
      </w:r>
    </w:p>
    <w:p w:rsidR="00D1547C" w:rsidRPr="004E01A1" w:rsidRDefault="00D1547C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Metodología basada en los Ámbitos de Flujo</w:t>
      </w:r>
      <w:r w:rsidR="00B866C4" w:rsidRPr="004E01A1">
        <w:rPr>
          <w:rFonts w:cs="Arial"/>
          <w:sz w:val="20"/>
          <w:szCs w:val="22"/>
          <w:lang w:eastAsia="es-AR"/>
        </w:rPr>
        <w:t xml:space="preserve"> </w:t>
      </w:r>
      <w:r w:rsidRPr="004E01A1">
        <w:rPr>
          <w:rFonts w:cs="Arial"/>
          <w:sz w:val="20"/>
          <w:szCs w:val="22"/>
          <w:lang w:eastAsia="es-AR"/>
        </w:rPr>
        <w:t xml:space="preserve">de Edward De Bono </w:t>
      </w:r>
    </w:p>
    <w:p w:rsidR="0062577F" w:rsidRPr="007B6DE1" w:rsidRDefault="00D1547C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2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 Reflexión final sobre la toma de decisiones  </w:t>
      </w:r>
    </w:p>
    <w:p w:rsidR="007B6DE1" w:rsidRPr="007B6DE1" w:rsidRDefault="007B6DE1" w:rsidP="007B6DE1">
      <w:pPr>
        <w:numPr>
          <w:ilvl w:val="0"/>
          <w:numId w:val="42"/>
        </w:numPr>
        <w:tabs>
          <w:tab w:val="left" w:pos="851"/>
        </w:tabs>
        <w:spacing w:before="120" w:after="120"/>
        <w:ind w:left="851" w:right="567" w:hanging="284"/>
        <w:rPr>
          <w:rFonts w:cs="Arial"/>
          <w:b/>
          <w:sz w:val="22"/>
          <w:szCs w:val="22"/>
          <w:lang w:eastAsia="es-AR"/>
        </w:rPr>
        <w:sectPr w:rsidR="007B6DE1" w:rsidRPr="007B6DE1" w:rsidSect="007B6DE1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03072A" w:rsidRDefault="0003072A" w:rsidP="004E01A1">
      <w:pPr>
        <w:numPr>
          <w:ilvl w:val="0"/>
          <w:numId w:val="42"/>
        </w:numPr>
        <w:tabs>
          <w:tab w:val="left" w:pos="851"/>
        </w:tabs>
        <w:spacing w:before="240"/>
        <w:ind w:left="851" w:right="567" w:hanging="284"/>
        <w:rPr>
          <w:rFonts w:cs="Arial"/>
          <w:b/>
          <w:szCs w:val="22"/>
          <w:lang w:eastAsia="es-AR"/>
        </w:rPr>
      </w:pPr>
      <w:r>
        <w:rPr>
          <w:rFonts w:cs="Arial"/>
          <w:b/>
          <w:szCs w:val="22"/>
          <w:lang w:eastAsia="es-AR"/>
        </w:rPr>
        <w:lastRenderedPageBreak/>
        <w:t>Utilización eficaz del tiempo</w:t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ind w:left="851" w:right="565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Cs/>
          <w:color w:val="232323"/>
          <w:w w:val="110"/>
          <w:sz w:val="20"/>
          <w:szCs w:val="22"/>
          <w:lang w:val="es-AR"/>
        </w:rPr>
        <w:t xml:space="preserve">¿Qué </w:t>
      </w:r>
      <w:r w:rsidRPr="0003072A">
        <w:rPr>
          <w:rFonts w:cs="Arial"/>
          <w:sz w:val="20"/>
          <w:szCs w:val="22"/>
          <w:lang w:eastAsia="es-AR"/>
        </w:rPr>
        <w:t>son</w:t>
      </w:r>
      <w:r w:rsidRPr="0003072A">
        <w:rPr>
          <w:bCs/>
          <w:color w:val="232323"/>
          <w:w w:val="110"/>
          <w:sz w:val="20"/>
          <w:szCs w:val="22"/>
          <w:lang w:val="es-AR"/>
        </w:rPr>
        <w:t xml:space="preserve"> los hábitos? - Veamos un mal hábito y cómo abordamos su “tratamiento” - Hacia la adquisición de buenos hábitos - Causas de la escasez de tiempo - Causas del mal uso del tiempo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  <w:t xml:space="preserve">- Vivir apurado - Visión de futuro - Leyes sobre el uso del tiempo - Las leyes de Parkinson - </w:t>
      </w:r>
      <w:r w:rsidRPr="0003072A">
        <w:rPr>
          <w:b/>
          <w:bCs/>
          <w:color w:val="232323"/>
          <w:w w:val="110"/>
          <w:sz w:val="20"/>
          <w:szCs w:val="22"/>
          <w:lang w:val="es-AR"/>
        </w:rPr>
        <w:t>Los ladrones del tiempo</w:t>
      </w:r>
      <w:r w:rsidRPr="0003072A">
        <w:rPr>
          <w:bCs/>
          <w:color w:val="232323"/>
          <w:w w:val="110"/>
          <w:sz w:val="20"/>
          <w:szCs w:val="22"/>
          <w:lang w:val="es-AR"/>
        </w:rPr>
        <w:t>: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Interrupciones. </w:t>
      </w:r>
      <w:r w:rsidRPr="0003072A">
        <w:rPr>
          <w:bCs/>
          <w:color w:val="232323"/>
          <w:w w:val="110"/>
          <w:sz w:val="20"/>
          <w:szCs w:val="22"/>
          <w:lang w:val="es-AR"/>
        </w:rPr>
        <w:t xml:space="preserve">Brutal impacto en tu día a día - Combatirlas más que evitarlas - Cómo vencer a las INTERRUPCIONES - Interruptores frecuentes - Conciénciate antes - Aísla cada nueva tarea - Auriculares a mano - </w:t>
      </w:r>
      <w:proofErr w:type="spellStart"/>
      <w:r w:rsidRPr="0003072A">
        <w:rPr>
          <w:bCs/>
          <w:color w:val="232323"/>
          <w:w w:val="110"/>
          <w:sz w:val="20"/>
          <w:szCs w:val="22"/>
          <w:lang w:val="es-AR"/>
        </w:rPr>
        <w:t>Frená</w:t>
      </w:r>
      <w:proofErr w:type="spellEnd"/>
      <w:r w:rsidRPr="0003072A">
        <w:rPr>
          <w:bCs/>
          <w:color w:val="232323"/>
          <w:w w:val="110"/>
          <w:sz w:val="20"/>
          <w:szCs w:val="22"/>
          <w:lang w:val="es-AR"/>
        </w:rPr>
        <w:t xml:space="preserve"> al pesado - ¡¡Ojo con el celular!! - Sin llamadas, por favor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  <w:t>- Breve y directo - Trabaja en bloques cortos - ¡No interrumpas vos!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La improvisación. </w:t>
      </w:r>
      <w:r w:rsidRPr="0003072A">
        <w:rPr>
          <w:bCs/>
          <w:color w:val="232323"/>
          <w:w w:val="110"/>
          <w:sz w:val="20"/>
          <w:szCs w:val="22"/>
          <w:lang w:val="es-AR"/>
        </w:rPr>
        <w:t>Interpretar las tareas - Cómo vencer a la improvisación - Tareas Clave - Tareas Repetitivas - Una lista de tareas - Planifica el día antes - Identifica las tareas Clave - Repaso al empezar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  <w:t>- Espacio para imprevistos - TERMINAR es la clave - Evita la Multitarea - Divide y vencerás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Reuniones Improductivas. </w:t>
      </w:r>
      <w:r w:rsidRPr="0003072A">
        <w:rPr>
          <w:bCs/>
          <w:color w:val="232323"/>
          <w:w w:val="110"/>
          <w:sz w:val="20"/>
          <w:szCs w:val="22"/>
          <w:lang w:val="es-AR"/>
        </w:rPr>
        <w:t>¿De verdad hay que asistir? - Y si de verdad hay que asistir - Cómo vencer la adicción a las reuniones</w:t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spacing w:val="-2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La Televisión. </w:t>
      </w:r>
      <w:r w:rsidRPr="0003072A">
        <w:rPr>
          <w:bCs/>
          <w:color w:val="232323"/>
          <w:spacing w:val="-2"/>
          <w:w w:val="110"/>
          <w:sz w:val="20"/>
          <w:szCs w:val="22"/>
          <w:lang w:val="es-AR"/>
        </w:rPr>
        <w:t xml:space="preserve">La televisión como base del </w:t>
      </w:r>
      <w:r w:rsidRPr="0003072A">
        <w:rPr>
          <w:bCs/>
          <w:color w:val="232323"/>
          <w:w w:val="110"/>
          <w:sz w:val="20"/>
          <w:szCs w:val="22"/>
          <w:lang w:val="es-AR"/>
        </w:rPr>
        <w:t>descanso</w:t>
      </w:r>
      <w:r w:rsidRPr="0003072A">
        <w:rPr>
          <w:bCs/>
          <w:color w:val="232323"/>
          <w:spacing w:val="-2"/>
          <w:w w:val="110"/>
          <w:sz w:val="20"/>
          <w:szCs w:val="22"/>
          <w:lang w:val="es-AR"/>
        </w:rPr>
        <w:t xml:space="preserve"> - Algo que tenemos que cambiar… desde hoy - Cómo vencer a la Televisión - ¿Cómo es tu TV? - Recorta poco a poco - ¿Qué otra cosa vas a hacer? - </w:t>
      </w:r>
      <w:proofErr w:type="spellStart"/>
      <w:r w:rsidRPr="0003072A">
        <w:rPr>
          <w:bCs/>
          <w:color w:val="232323"/>
          <w:spacing w:val="-2"/>
          <w:w w:val="110"/>
          <w:sz w:val="20"/>
          <w:szCs w:val="22"/>
          <w:lang w:val="es-AR"/>
        </w:rPr>
        <w:t>Poné</w:t>
      </w:r>
      <w:proofErr w:type="spellEnd"/>
      <w:r w:rsidRPr="0003072A">
        <w:rPr>
          <w:bCs/>
          <w:color w:val="232323"/>
          <w:spacing w:val="-2"/>
          <w:w w:val="110"/>
          <w:sz w:val="20"/>
          <w:szCs w:val="22"/>
          <w:lang w:val="es-AR"/>
        </w:rPr>
        <w:t xml:space="preserve"> límites - Cena sin TV - Adiós al zapping - Haz tu propia TV - Recorta un poco más - Te estás perdiendo… mucho</w:t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Internet. </w:t>
      </w:r>
      <w:r w:rsidRPr="0003072A">
        <w:rPr>
          <w:bCs/>
          <w:color w:val="232323"/>
          <w:w w:val="110"/>
          <w:sz w:val="20"/>
          <w:szCs w:val="22"/>
          <w:lang w:val="es-AR"/>
        </w:rPr>
        <w:t>Nuevas reglas de juego</w:t>
      </w:r>
      <w:r>
        <w:rPr>
          <w:bCs/>
          <w:color w:val="232323"/>
          <w:w w:val="110"/>
          <w:sz w:val="20"/>
          <w:szCs w:val="22"/>
          <w:lang w:val="es-AR"/>
        </w:rPr>
        <w:t xml:space="preserve"> </w:t>
      </w:r>
      <w:r w:rsidRPr="0003072A">
        <w:rPr>
          <w:bCs/>
          <w:color w:val="232323"/>
          <w:w w:val="110"/>
          <w:sz w:val="20"/>
          <w:szCs w:val="22"/>
          <w:lang w:val="es-AR"/>
        </w:rPr>
        <w:t>- Internet te engorda - Evitarlo está a un clic de distancia - Cómo vencer a Internet - Blogs y noticias - Notificadores y avisadores - Navegación Inconsciente - Mensajería Instantánea - Redes Sociales</w:t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El email. </w:t>
      </w:r>
      <w:r w:rsidRPr="0003072A">
        <w:rPr>
          <w:bCs/>
          <w:color w:val="232323"/>
          <w:w w:val="110"/>
          <w:sz w:val="20"/>
          <w:szCs w:val="22"/>
          <w:lang w:val="es-AR"/>
        </w:rPr>
        <w:t xml:space="preserve">Un problema generalizado - Cómo vencer al email - Sólo es un martillo - Empieza por otra cosa - Adiós, notificadores - No lo dejes abierto - Momentos específicos - Email=Acción - ¡No te vas a morir! - Elige bien tu aplicación - Aprende a buscar - Mensajes breves y directos - Cuida el Asunto - Respuestas prediseñadas - Filtros inteligentes - ¡Estás descansando! - ¿Necesitas el </w:t>
      </w:r>
      <w:proofErr w:type="spellStart"/>
      <w:r w:rsidRPr="0003072A">
        <w:rPr>
          <w:bCs/>
          <w:color w:val="232323"/>
          <w:w w:val="110"/>
          <w:sz w:val="20"/>
          <w:szCs w:val="22"/>
          <w:lang w:val="es-AR"/>
        </w:rPr>
        <w:t>push</w:t>
      </w:r>
      <w:proofErr w:type="spellEnd"/>
      <w:r w:rsidRPr="0003072A">
        <w:rPr>
          <w:bCs/>
          <w:color w:val="232323"/>
          <w:w w:val="110"/>
          <w:sz w:val="20"/>
          <w:szCs w:val="22"/>
          <w:lang w:val="es-AR"/>
        </w:rPr>
        <w:t>?</w:t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El celular. </w:t>
      </w:r>
      <w:r w:rsidRPr="0003072A">
        <w:rPr>
          <w:bCs/>
          <w:color w:val="232323"/>
          <w:w w:val="110"/>
          <w:sz w:val="20"/>
          <w:szCs w:val="22"/>
          <w:lang w:val="es-AR"/>
        </w:rPr>
        <w:t xml:space="preserve">Tres malos hábitos generalizados - Tres impactos negativos - Cómo vencer al celular - </w:t>
      </w:r>
      <w:r>
        <w:rPr>
          <w:bCs/>
          <w:color w:val="232323"/>
          <w:w w:val="110"/>
          <w:sz w:val="20"/>
          <w:szCs w:val="22"/>
          <w:lang w:val="es-AR"/>
        </w:rPr>
        <w:t xml:space="preserve">Sólo es una herramienta </w:t>
      </w:r>
      <w:r w:rsidRPr="0003072A">
        <w:rPr>
          <w:bCs/>
          <w:color w:val="232323"/>
          <w:w w:val="110"/>
          <w:sz w:val="20"/>
          <w:szCs w:val="22"/>
          <w:lang w:val="es-AR"/>
        </w:rPr>
        <w:t>- Una llamada, un propósito - Adiós a la cháchara - Sé directo y preciso - Ronda de llamadas - ¿Y si lo silencias? - ¡No estoy para nadie! - Usa bien el Buzón de Voz - Comunica tus rutinas - Aprende a no responder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</w:r>
    </w:p>
    <w:p w:rsidR="0003072A" w:rsidRPr="0003072A" w:rsidRDefault="0003072A" w:rsidP="0003072A">
      <w:pPr>
        <w:numPr>
          <w:ilvl w:val="0"/>
          <w:numId w:val="38"/>
        </w:numPr>
        <w:tabs>
          <w:tab w:val="left" w:pos="851"/>
        </w:tabs>
        <w:spacing w:before="120"/>
        <w:ind w:left="851" w:right="567" w:hanging="284"/>
        <w:jc w:val="both"/>
        <w:rPr>
          <w:bCs/>
          <w:color w:val="232323"/>
          <w:w w:val="110"/>
          <w:sz w:val="20"/>
          <w:szCs w:val="22"/>
          <w:lang w:val="es-AR"/>
        </w:rPr>
      </w:pPr>
      <w:r w:rsidRPr="0003072A">
        <w:rPr>
          <w:b/>
          <w:bCs/>
          <w:color w:val="232323"/>
          <w:w w:val="110"/>
          <w:sz w:val="20"/>
          <w:szCs w:val="22"/>
          <w:lang w:val="es-AR"/>
        </w:rPr>
        <w:t xml:space="preserve">El teléfono Fijo… con cuidado. </w:t>
      </w:r>
      <w:r w:rsidRPr="0003072A">
        <w:rPr>
          <w:bCs/>
          <w:color w:val="232323"/>
          <w:w w:val="110"/>
          <w:sz w:val="20"/>
          <w:szCs w:val="22"/>
          <w:lang w:val="es-AR"/>
        </w:rPr>
        <w:t>Los papeles - Una buena decisión - Privilegiar lo importante, sobre lo urgente - Conclusión</w:t>
      </w:r>
      <w:r w:rsidRPr="0003072A">
        <w:rPr>
          <w:bCs/>
          <w:color w:val="232323"/>
          <w:w w:val="110"/>
          <w:sz w:val="20"/>
          <w:szCs w:val="22"/>
          <w:lang w:val="es-AR"/>
        </w:rPr>
        <w:tab/>
      </w:r>
    </w:p>
    <w:p w:rsidR="00AE44D0" w:rsidRPr="00CA663C" w:rsidRDefault="00D21422" w:rsidP="004E01A1">
      <w:pPr>
        <w:numPr>
          <w:ilvl w:val="0"/>
          <w:numId w:val="42"/>
        </w:numPr>
        <w:tabs>
          <w:tab w:val="left" w:pos="851"/>
        </w:tabs>
        <w:spacing w:before="240"/>
        <w:ind w:left="851" w:right="567" w:hanging="284"/>
        <w:rPr>
          <w:rFonts w:cs="Arial"/>
          <w:b/>
          <w:szCs w:val="22"/>
          <w:lang w:eastAsia="es-AR"/>
        </w:rPr>
      </w:pPr>
      <w:r w:rsidRPr="00CA663C">
        <w:rPr>
          <w:rFonts w:cs="Arial"/>
          <w:b/>
          <w:szCs w:val="22"/>
          <w:lang w:eastAsia="es-AR"/>
        </w:rPr>
        <w:lastRenderedPageBreak/>
        <w:t>La organización empresarial y el papel de la secretaria ejecutiva</w:t>
      </w:r>
    </w:p>
    <w:p w:rsidR="007B6DE1" w:rsidRPr="00CA663C" w:rsidRDefault="007B6DE1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Cs w:val="22"/>
          <w:lang w:eastAsia="es-AR"/>
        </w:rPr>
        <w:sectPr w:rsidR="007B6DE1" w:rsidRPr="00CA663C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21422" w:rsidRPr="004E01A1" w:rsidRDefault="00D21422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lastRenderedPageBreak/>
        <w:t>Estilos de secretaria ejecutiva</w:t>
      </w:r>
      <w:r w:rsidR="00DA4513" w:rsidRPr="004E01A1">
        <w:rPr>
          <w:rFonts w:cs="Arial"/>
          <w:sz w:val="20"/>
          <w:szCs w:val="22"/>
          <w:lang w:eastAsia="es-AR"/>
        </w:rPr>
        <w:t>.</w:t>
      </w:r>
    </w:p>
    <w:p w:rsidR="00DA4513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De secretaria ejecutiva a asistente emprendedora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Estilos de secretarias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Tareas corrientes</w:t>
      </w:r>
    </w:p>
    <w:p w:rsidR="00DA4513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El nuevo rol de la secretaria ejecutiva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Cualidades de la secretaria ejecutiva. Valores profesionales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Funciones básicas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Competitividad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Desarrollo de capacidades</w:t>
      </w:r>
    </w:p>
    <w:p w:rsidR="00D21422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Excelencia</w:t>
      </w:r>
    </w:p>
    <w:p w:rsidR="007B6DE1" w:rsidRPr="004E01A1" w:rsidRDefault="00DA4513" w:rsidP="007B6DE1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Liderazgo de la secretaria</w:t>
      </w:r>
    </w:p>
    <w:p w:rsidR="00DA4513" w:rsidRPr="004E01A1" w:rsidRDefault="00DA4513" w:rsidP="00962472">
      <w:pPr>
        <w:numPr>
          <w:ilvl w:val="0"/>
          <w:numId w:val="38"/>
        </w:numPr>
        <w:tabs>
          <w:tab w:val="left" w:pos="851"/>
        </w:tabs>
        <w:ind w:left="851" w:right="-2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La Imagen personal y profesional correcta</w:t>
      </w:r>
    </w:p>
    <w:p w:rsidR="00DA4513" w:rsidRPr="004E01A1" w:rsidRDefault="00DA4513" w:rsidP="004E01A1">
      <w:pPr>
        <w:numPr>
          <w:ilvl w:val="0"/>
          <w:numId w:val="44"/>
        </w:numPr>
        <w:tabs>
          <w:tab w:val="left" w:pos="1134"/>
        </w:tabs>
        <w:ind w:left="1134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Cómo vestir de manera Profesional</w:t>
      </w:r>
    </w:p>
    <w:p w:rsidR="00DA4513" w:rsidRPr="004E01A1" w:rsidRDefault="00DA4513" w:rsidP="004E01A1">
      <w:pPr>
        <w:numPr>
          <w:ilvl w:val="0"/>
          <w:numId w:val="44"/>
        </w:numPr>
        <w:tabs>
          <w:tab w:val="left" w:pos="1134"/>
        </w:tabs>
        <w:ind w:left="1134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Sugerencias de vestimenta según la silueta</w:t>
      </w:r>
    </w:p>
    <w:p w:rsidR="007B6DE1" w:rsidRPr="004E01A1" w:rsidRDefault="00DA4513" w:rsidP="004E01A1">
      <w:pPr>
        <w:numPr>
          <w:ilvl w:val="0"/>
          <w:numId w:val="44"/>
        </w:numPr>
        <w:tabs>
          <w:tab w:val="left" w:pos="1134"/>
        </w:tabs>
        <w:ind w:left="1134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La vestimenta y los diferentes tipos de rostro y cuerpo</w:t>
      </w:r>
    </w:p>
    <w:p w:rsidR="007B6DE1" w:rsidRPr="004E01A1" w:rsidRDefault="00DA4513" w:rsidP="004E01A1">
      <w:pPr>
        <w:numPr>
          <w:ilvl w:val="0"/>
          <w:numId w:val="44"/>
        </w:numPr>
        <w:tabs>
          <w:tab w:val="left" w:pos="1134"/>
        </w:tabs>
        <w:ind w:left="1134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Cuidado de la piel</w:t>
      </w:r>
    </w:p>
    <w:p w:rsidR="007B6DE1" w:rsidRPr="004E01A1" w:rsidRDefault="00DA4513" w:rsidP="004E01A1">
      <w:pPr>
        <w:numPr>
          <w:ilvl w:val="0"/>
          <w:numId w:val="44"/>
        </w:numPr>
        <w:tabs>
          <w:tab w:val="left" w:pos="1134"/>
        </w:tabs>
        <w:ind w:left="1134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El cabello. Las manos. El uso del perfume</w:t>
      </w:r>
    </w:p>
    <w:p w:rsidR="007B6DE1" w:rsidRPr="004E01A1" w:rsidRDefault="00DA4513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lastRenderedPageBreak/>
        <w:t>El lenguaje gestual o corporal</w:t>
      </w:r>
    </w:p>
    <w:p w:rsidR="007B6DE1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Saber sentarse y caminar</w:t>
      </w:r>
    </w:p>
    <w:p w:rsidR="007B6DE1" w:rsidRPr="004E01A1" w:rsidRDefault="00962472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Atención telefónica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Comunicación verbal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Formas y contenidos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Los tipos de tono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El lenguaje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Escucha activa y actitud no defensiva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Estructura básica de la comunicación telefónica</w:t>
      </w:r>
    </w:p>
    <w:p w:rsidR="00962472" w:rsidRPr="004E01A1" w:rsidRDefault="00962472" w:rsidP="007B6DE1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Gestión del tiempo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Principios generales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Planificación de las tareas</w:t>
      </w:r>
    </w:p>
    <w:p w:rsidR="007B6DE1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Cómo solucionar imprevistos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Las interrupciones</w:t>
      </w:r>
    </w:p>
    <w:p w:rsidR="00962472" w:rsidRPr="004E01A1" w:rsidRDefault="00962472" w:rsidP="00962472">
      <w:pPr>
        <w:numPr>
          <w:ilvl w:val="0"/>
          <w:numId w:val="38"/>
        </w:numPr>
        <w:tabs>
          <w:tab w:val="left" w:pos="284"/>
        </w:tabs>
        <w:ind w:left="284" w:right="567" w:hanging="284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Recordatorios y sistemas de seguimiento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Tipos de recordatorios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Control de los asuntos pendientes y urgentes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>Instrumentos del sistema de control y seguimiento</w:t>
      </w:r>
    </w:p>
    <w:p w:rsidR="00962472" w:rsidRPr="004E01A1" w:rsidRDefault="00962472" w:rsidP="004E01A1">
      <w:pPr>
        <w:numPr>
          <w:ilvl w:val="0"/>
          <w:numId w:val="44"/>
        </w:numPr>
        <w:tabs>
          <w:tab w:val="left" w:pos="567"/>
        </w:tabs>
        <w:ind w:left="567" w:right="567" w:hanging="283"/>
        <w:rPr>
          <w:rFonts w:cs="Arial"/>
          <w:sz w:val="20"/>
          <w:szCs w:val="22"/>
          <w:lang w:eastAsia="es-AR"/>
        </w:rPr>
      </w:pPr>
      <w:r w:rsidRPr="004E01A1">
        <w:rPr>
          <w:rFonts w:cs="Arial"/>
          <w:sz w:val="20"/>
          <w:szCs w:val="22"/>
          <w:lang w:eastAsia="es-AR"/>
        </w:rPr>
        <w:t xml:space="preserve">El </w:t>
      </w:r>
      <w:proofErr w:type="spellStart"/>
      <w:r w:rsidRPr="004E01A1">
        <w:rPr>
          <w:rFonts w:cs="Arial"/>
          <w:sz w:val="20"/>
          <w:szCs w:val="22"/>
          <w:lang w:eastAsia="es-AR"/>
        </w:rPr>
        <w:t>Planning</w:t>
      </w:r>
      <w:proofErr w:type="spellEnd"/>
      <w:r w:rsidRPr="004E01A1">
        <w:rPr>
          <w:rFonts w:cs="Arial"/>
          <w:sz w:val="20"/>
          <w:szCs w:val="22"/>
          <w:lang w:eastAsia="es-AR"/>
        </w:rPr>
        <w:t xml:space="preserve"> o plan de trabajo</w:t>
      </w:r>
    </w:p>
    <w:p w:rsidR="00962472" w:rsidRPr="00962472" w:rsidRDefault="00962472" w:rsidP="00962472">
      <w:pPr>
        <w:tabs>
          <w:tab w:val="left" w:pos="284"/>
        </w:tabs>
        <w:ind w:left="284" w:right="567"/>
        <w:rPr>
          <w:rFonts w:cs="Arial"/>
          <w:sz w:val="22"/>
          <w:szCs w:val="22"/>
          <w:lang w:eastAsia="es-AR"/>
        </w:rPr>
        <w:sectPr w:rsidR="00962472" w:rsidRPr="00962472" w:rsidSect="007B6DE1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pace="567"/>
          <w:titlePg/>
          <w:docGrid w:linePitch="360"/>
        </w:sectPr>
      </w:pPr>
    </w:p>
    <w:p w:rsidR="007B6DE1" w:rsidRDefault="007B6DE1" w:rsidP="00D21422">
      <w:pPr>
        <w:ind w:right="565"/>
        <w:rPr>
          <w:szCs w:val="22"/>
          <w:lang w:val="es-AR"/>
        </w:rPr>
      </w:pPr>
    </w:p>
    <w:p w:rsidR="00AE44D0" w:rsidRDefault="00AE44D0" w:rsidP="00C4078D">
      <w:pPr>
        <w:ind w:left="3119" w:right="565"/>
        <w:rPr>
          <w:szCs w:val="22"/>
          <w:lang w:val="es-AR"/>
        </w:rPr>
      </w:pPr>
    </w:p>
    <w:p w:rsidR="00D83DBD" w:rsidRPr="00D83DBD" w:rsidRDefault="00C4078D" w:rsidP="008978F5">
      <w:pPr>
        <w:ind w:right="565"/>
        <w:jc w:val="center"/>
        <w:rPr>
          <w:szCs w:val="22"/>
          <w:lang w:val="es-AR"/>
        </w:rPr>
      </w:pPr>
      <w:r>
        <w:rPr>
          <w:szCs w:val="22"/>
          <w:lang w:val="es-AR"/>
        </w:rPr>
        <w:t xml:space="preserve">Duración: </w:t>
      </w:r>
      <w:r w:rsidR="0003072A">
        <w:rPr>
          <w:szCs w:val="22"/>
          <w:lang w:val="es-AR"/>
        </w:rPr>
        <w:t>6</w:t>
      </w:r>
      <w:r w:rsidR="00D83DBD">
        <w:rPr>
          <w:szCs w:val="22"/>
          <w:lang w:val="es-AR"/>
        </w:rPr>
        <w:t xml:space="preserve"> meses</w:t>
      </w:r>
    </w:p>
    <w:sectPr w:rsidR="00D83DBD" w:rsidRPr="00D83DBD" w:rsidSect="004720DF"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B" w:rsidRDefault="00096B3B">
      <w:r>
        <w:separator/>
      </w:r>
    </w:p>
  </w:endnote>
  <w:endnote w:type="continuationSeparator" w:id="0">
    <w:p w:rsidR="00096B3B" w:rsidRDefault="0009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A60D90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49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49BA" w:rsidRDefault="007049BA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Pr="004023B5" w:rsidRDefault="007049BA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Pr="00264C2A" w:rsidRDefault="007049BA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B" w:rsidRDefault="00096B3B">
      <w:r>
        <w:separator/>
      </w:r>
    </w:p>
  </w:footnote>
  <w:footnote w:type="continuationSeparator" w:id="0">
    <w:p w:rsidR="00096B3B" w:rsidRDefault="00096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7049BA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C6B68"/>
    <w:multiLevelType w:val="hybridMultilevel"/>
    <w:tmpl w:val="9DBA7B66"/>
    <w:lvl w:ilvl="0" w:tplc="B56217A8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82B61"/>
    <w:multiLevelType w:val="hybridMultilevel"/>
    <w:tmpl w:val="5ACE20BA"/>
    <w:lvl w:ilvl="0" w:tplc="3430988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41EAE"/>
    <w:multiLevelType w:val="hybridMultilevel"/>
    <w:tmpl w:val="84C88688"/>
    <w:lvl w:ilvl="0" w:tplc="13F4C9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477EC5"/>
    <w:multiLevelType w:val="hybridMultilevel"/>
    <w:tmpl w:val="AB8467B4"/>
    <w:lvl w:ilvl="0" w:tplc="83EA26CC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D7987"/>
    <w:multiLevelType w:val="hybridMultilevel"/>
    <w:tmpl w:val="EF02B2C6"/>
    <w:lvl w:ilvl="0" w:tplc="5748DA6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0466C58"/>
    <w:multiLevelType w:val="hybridMultilevel"/>
    <w:tmpl w:val="86C81CDA"/>
    <w:lvl w:ilvl="0" w:tplc="23D618AA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7BD6BF9"/>
    <w:multiLevelType w:val="hybridMultilevel"/>
    <w:tmpl w:val="DF7A03EE"/>
    <w:lvl w:ilvl="0" w:tplc="1C9038C6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0375931"/>
    <w:multiLevelType w:val="hybridMultilevel"/>
    <w:tmpl w:val="CD7452C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46E09D9"/>
    <w:multiLevelType w:val="hybridMultilevel"/>
    <w:tmpl w:val="FAA2B8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9">
    <w:nsid w:val="782F7241"/>
    <w:multiLevelType w:val="hybridMultilevel"/>
    <w:tmpl w:val="CFF2FBCC"/>
    <w:lvl w:ilvl="0" w:tplc="13F4C9C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92020BE"/>
    <w:multiLevelType w:val="hybridMultilevel"/>
    <w:tmpl w:val="8458B2B8"/>
    <w:lvl w:ilvl="0" w:tplc="9CAC1D7A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B997417"/>
    <w:multiLevelType w:val="hybridMultilevel"/>
    <w:tmpl w:val="5ACE20BA"/>
    <w:lvl w:ilvl="0" w:tplc="3430988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83621F"/>
    <w:multiLevelType w:val="hybridMultilevel"/>
    <w:tmpl w:val="30DCF2FC"/>
    <w:lvl w:ilvl="0" w:tplc="B206246E">
      <w:start w:val="4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19"/>
  </w:num>
  <w:num w:numId="5">
    <w:abstractNumId w:val="37"/>
  </w:num>
  <w:num w:numId="6">
    <w:abstractNumId w:val="25"/>
  </w:num>
  <w:num w:numId="7">
    <w:abstractNumId w:val="1"/>
  </w:num>
  <w:num w:numId="8">
    <w:abstractNumId w:val="26"/>
  </w:num>
  <w:num w:numId="9">
    <w:abstractNumId w:val="44"/>
  </w:num>
  <w:num w:numId="10">
    <w:abstractNumId w:val="6"/>
  </w:num>
  <w:num w:numId="11">
    <w:abstractNumId w:val="24"/>
  </w:num>
  <w:num w:numId="12">
    <w:abstractNumId w:val="36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2"/>
  </w:num>
  <w:num w:numId="18">
    <w:abstractNumId w:val="4"/>
  </w:num>
  <w:num w:numId="19">
    <w:abstractNumId w:val="11"/>
  </w:num>
  <w:num w:numId="20">
    <w:abstractNumId w:val="34"/>
  </w:num>
  <w:num w:numId="21">
    <w:abstractNumId w:val="32"/>
  </w:num>
  <w:num w:numId="22">
    <w:abstractNumId w:val="27"/>
  </w:num>
  <w:num w:numId="23">
    <w:abstractNumId w:val="38"/>
  </w:num>
  <w:num w:numId="24">
    <w:abstractNumId w:val="14"/>
  </w:num>
  <w:num w:numId="25">
    <w:abstractNumId w:val="16"/>
  </w:num>
  <w:num w:numId="26">
    <w:abstractNumId w:val="31"/>
  </w:num>
  <w:num w:numId="27">
    <w:abstractNumId w:val="9"/>
  </w:num>
  <w:num w:numId="28">
    <w:abstractNumId w:val="41"/>
  </w:num>
  <w:num w:numId="29">
    <w:abstractNumId w:val="23"/>
  </w:num>
  <w:num w:numId="30">
    <w:abstractNumId w:val="21"/>
  </w:num>
  <w:num w:numId="31">
    <w:abstractNumId w:val="5"/>
  </w:num>
  <w:num w:numId="32">
    <w:abstractNumId w:val="10"/>
  </w:num>
  <w:num w:numId="33">
    <w:abstractNumId w:val="18"/>
  </w:num>
  <w:num w:numId="34">
    <w:abstractNumId w:val="3"/>
  </w:num>
  <w:num w:numId="35">
    <w:abstractNumId w:val="20"/>
  </w:num>
  <w:num w:numId="36">
    <w:abstractNumId w:val="39"/>
  </w:num>
  <w:num w:numId="37">
    <w:abstractNumId w:val="33"/>
  </w:num>
  <w:num w:numId="38">
    <w:abstractNumId w:val="12"/>
  </w:num>
  <w:num w:numId="39">
    <w:abstractNumId w:val="42"/>
  </w:num>
  <w:num w:numId="40">
    <w:abstractNumId w:val="22"/>
  </w:num>
  <w:num w:numId="41">
    <w:abstractNumId w:val="28"/>
  </w:num>
  <w:num w:numId="42">
    <w:abstractNumId w:val="7"/>
  </w:num>
  <w:num w:numId="43">
    <w:abstractNumId w:val="43"/>
  </w:num>
  <w:num w:numId="44">
    <w:abstractNumId w:val="40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B75"/>
    <w:rsid w:val="0003072A"/>
    <w:rsid w:val="000350EB"/>
    <w:rsid w:val="00063103"/>
    <w:rsid w:val="0007412F"/>
    <w:rsid w:val="00085D98"/>
    <w:rsid w:val="00087378"/>
    <w:rsid w:val="00096B3B"/>
    <w:rsid w:val="000A0534"/>
    <w:rsid w:val="000B1C1A"/>
    <w:rsid w:val="000B220F"/>
    <w:rsid w:val="000B34BC"/>
    <w:rsid w:val="000C6274"/>
    <w:rsid w:val="000D68C6"/>
    <w:rsid w:val="001106B7"/>
    <w:rsid w:val="00140BBB"/>
    <w:rsid w:val="001455E5"/>
    <w:rsid w:val="0014615F"/>
    <w:rsid w:val="00172AEE"/>
    <w:rsid w:val="00173EC1"/>
    <w:rsid w:val="001743A8"/>
    <w:rsid w:val="00175BAE"/>
    <w:rsid w:val="00180237"/>
    <w:rsid w:val="001A323D"/>
    <w:rsid w:val="001B21EE"/>
    <w:rsid w:val="001C007B"/>
    <w:rsid w:val="001D0774"/>
    <w:rsid w:val="001E4F98"/>
    <w:rsid w:val="001E53F0"/>
    <w:rsid w:val="001F5AB7"/>
    <w:rsid w:val="00203DAE"/>
    <w:rsid w:val="002212AD"/>
    <w:rsid w:val="002320FA"/>
    <w:rsid w:val="00232ACF"/>
    <w:rsid w:val="0023341C"/>
    <w:rsid w:val="00264C2A"/>
    <w:rsid w:val="00271664"/>
    <w:rsid w:val="00285A4B"/>
    <w:rsid w:val="002F099B"/>
    <w:rsid w:val="002F4DA0"/>
    <w:rsid w:val="0032219B"/>
    <w:rsid w:val="003426C7"/>
    <w:rsid w:val="00380F5D"/>
    <w:rsid w:val="003830F4"/>
    <w:rsid w:val="00386CBD"/>
    <w:rsid w:val="00394500"/>
    <w:rsid w:val="003B17B6"/>
    <w:rsid w:val="003B37E0"/>
    <w:rsid w:val="003B71EC"/>
    <w:rsid w:val="003D47AF"/>
    <w:rsid w:val="003D5A5F"/>
    <w:rsid w:val="003D711B"/>
    <w:rsid w:val="003E360C"/>
    <w:rsid w:val="003F26FB"/>
    <w:rsid w:val="004023B5"/>
    <w:rsid w:val="00426E22"/>
    <w:rsid w:val="00433F32"/>
    <w:rsid w:val="00437DCA"/>
    <w:rsid w:val="0044737E"/>
    <w:rsid w:val="00453727"/>
    <w:rsid w:val="00461C61"/>
    <w:rsid w:val="004720DF"/>
    <w:rsid w:val="004A689B"/>
    <w:rsid w:val="004C4A9A"/>
    <w:rsid w:val="004E01A1"/>
    <w:rsid w:val="004E4688"/>
    <w:rsid w:val="0050104B"/>
    <w:rsid w:val="0051311B"/>
    <w:rsid w:val="005154C4"/>
    <w:rsid w:val="00523B74"/>
    <w:rsid w:val="00553E2A"/>
    <w:rsid w:val="0057234B"/>
    <w:rsid w:val="00575B77"/>
    <w:rsid w:val="005870CA"/>
    <w:rsid w:val="00587F26"/>
    <w:rsid w:val="005A5F66"/>
    <w:rsid w:val="005D7B5D"/>
    <w:rsid w:val="005F034F"/>
    <w:rsid w:val="00606FC1"/>
    <w:rsid w:val="00622FEF"/>
    <w:rsid w:val="0062577F"/>
    <w:rsid w:val="0062677E"/>
    <w:rsid w:val="006353D2"/>
    <w:rsid w:val="00640BCD"/>
    <w:rsid w:val="00642C9D"/>
    <w:rsid w:val="006453AB"/>
    <w:rsid w:val="00646862"/>
    <w:rsid w:val="006471F0"/>
    <w:rsid w:val="006477B6"/>
    <w:rsid w:val="00657964"/>
    <w:rsid w:val="00667D30"/>
    <w:rsid w:val="0067594B"/>
    <w:rsid w:val="006769AB"/>
    <w:rsid w:val="00685592"/>
    <w:rsid w:val="006860C9"/>
    <w:rsid w:val="00697E04"/>
    <w:rsid w:val="006B3CCE"/>
    <w:rsid w:val="006C6928"/>
    <w:rsid w:val="006D0CE8"/>
    <w:rsid w:val="006D37E1"/>
    <w:rsid w:val="006D46D1"/>
    <w:rsid w:val="006F7FB9"/>
    <w:rsid w:val="007049BA"/>
    <w:rsid w:val="00733081"/>
    <w:rsid w:val="0074390A"/>
    <w:rsid w:val="00755EF8"/>
    <w:rsid w:val="00762E57"/>
    <w:rsid w:val="00771488"/>
    <w:rsid w:val="00772614"/>
    <w:rsid w:val="007809B9"/>
    <w:rsid w:val="00781E3F"/>
    <w:rsid w:val="0078475C"/>
    <w:rsid w:val="00786D2E"/>
    <w:rsid w:val="0079028B"/>
    <w:rsid w:val="007A2E39"/>
    <w:rsid w:val="007B4246"/>
    <w:rsid w:val="007B6DE1"/>
    <w:rsid w:val="007C2259"/>
    <w:rsid w:val="00841998"/>
    <w:rsid w:val="008525AC"/>
    <w:rsid w:val="00860E07"/>
    <w:rsid w:val="008747E2"/>
    <w:rsid w:val="00880E1D"/>
    <w:rsid w:val="008978F5"/>
    <w:rsid w:val="008C7848"/>
    <w:rsid w:val="009122B7"/>
    <w:rsid w:val="009135D0"/>
    <w:rsid w:val="009274E8"/>
    <w:rsid w:val="009316DA"/>
    <w:rsid w:val="00933219"/>
    <w:rsid w:val="0093523E"/>
    <w:rsid w:val="009410D1"/>
    <w:rsid w:val="0094462E"/>
    <w:rsid w:val="00962472"/>
    <w:rsid w:val="0096507F"/>
    <w:rsid w:val="00972A8F"/>
    <w:rsid w:val="00990BD5"/>
    <w:rsid w:val="009B3BBE"/>
    <w:rsid w:val="009B3F8B"/>
    <w:rsid w:val="009C0DC8"/>
    <w:rsid w:val="009E3292"/>
    <w:rsid w:val="009F6357"/>
    <w:rsid w:val="00A122F7"/>
    <w:rsid w:val="00A12FCC"/>
    <w:rsid w:val="00A41F4C"/>
    <w:rsid w:val="00A43A67"/>
    <w:rsid w:val="00A54F94"/>
    <w:rsid w:val="00A56D70"/>
    <w:rsid w:val="00A60D90"/>
    <w:rsid w:val="00A71B1D"/>
    <w:rsid w:val="00A8329F"/>
    <w:rsid w:val="00A838AB"/>
    <w:rsid w:val="00A868FF"/>
    <w:rsid w:val="00AA6E84"/>
    <w:rsid w:val="00AD3532"/>
    <w:rsid w:val="00AD66DC"/>
    <w:rsid w:val="00AE0E93"/>
    <w:rsid w:val="00AE44D0"/>
    <w:rsid w:val="00AE50AD"/>
    <w:rsid w:val="00AE670A"/>
    <w:rsid w:val="00B03291"/>
    <w:rsid w:val="00B41F00"/>
    <w:rsid w:val="00B46FC9"/>
    <w:rsid w:val="00B55B11"/>
    <w:rsid w:val="00B74BFB"/>
    <w:rsid w:val="00B846E0"/>
    <w:rsid w:val="00B866C4"/>
    <w:rsid w:val="00BA05C4"/>
    <w:rsid w:val="00BB1EB2"/>
    <w:rsid w:val="00BB2A19"/>
    <w:rsid w:val="00BC1549"/>
    <w:rsid w:val="00BD075E"/>
    <w:rsid w:val="00BF0CD0"/>
    <w:rsid w:val="00C12947"/>
    <w:rsid w:val="00C3576E"/>
    <w:rsid w:val="00C4078D"/>
    <w:rsid w:val="00C73025"/>
    <w:rsid w:val="00C837BA"/>
    <w:rsid w:val="00C937E1"/>
    <w:rsid w:val="00CA2E5A"/>
    <w:rsid w:val="00CA663C"/>
    <w:rsid w:val="00CB149D"/>
    <w:rsid w:val="00CE736C"/>
    <w:rsid w:val="00CF73D4"/>
    <w:rsid w:val="00D07133"/>
    <w:rsid w:val="00D1547C"/>
    <w:rsid w:val="00D21422"/>
    <w:rsid w:val="00D37EEB"/>
    <w:rsid w:val="00D438A7"/>
    <w:rsid w:val="00D51F31"/>
    <w:rsid w:val="00D53CBD"/>
    <w:rsid w:val="00D83261"/>
    <w:rsid w:val="00D83DBD"/>
    <w:rsid w:val="00D9127D"/>
    <w:rsid w:val="00DA4513"/>
    <w:rsid w:val="00DA4873"/>
    <w:rsid w:val="00DB29B8"/>
    <w:rsid w:val="00DC0F8F"/>
    <w:rsid w:val="00DD1042"/>
    <w:rsid w:val="00DE65AE"/>
    <w:rsid w:val="00DF2120"/>
    <w:rsid w:val="00E04CAA"/>
    <w:rsid w:val="00E36B64"/>
    <w:rsid w:val="00E37C1D"/>
    <w:rsid w:val="00E4103A"/>
    <w:rsid w:val="00E63D5F"/>
    <w:rsid w:val="00E81F29"/>
    <w:rsid w:val="00E82ACC"/>
    <w:rsid w:val="00E84748"/>
    <w:rsid w:val="00E866F3"/>
    <w:rsid w:val="00E876F9"/>
    <w:rsid w:val="00EA2BDA"/>
    <w:rsid w:val="00EB0D96"/>
    <w:rsid w:val="00EB372D"/>
    <w:rsid w:val="00EF3D76"/>
    <w:rsid w:val="00F05F83"/>
    <w:rsid w:val="00F0729E"/>
    <w:rsid w:val="00F20825"/>
    <w:rsid w:val="00F20F35"/>
    <w:rsid w:val="00F346FA"/>
    <w:rsid w:val="00F46B4D"/>
    <w:rsid w:val="00F64131"/>
    <w:rsid w:val="00F66099"/>
    <w:rsid w:val="00F848D5"/>
    <w:rsid w:val="00FB5D89"/>
    <w:rsid w:val="00FB6961"/>
    <w:rsid w:val="00FC0828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C7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866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CAPACITACIÓN PROFESIONAL DE </vt:lpstr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6</cp:revision>
  <dcterms:created xsi:type="dcterms:W3CDTF">2015-12-29T17:58:00Z</dcterms:created>
  <dcterms:modified xsi:type="dcterms:W3CDTF">2018-01-03T20:13:00Z</dcterms:modified>
</cp:coreProperties>
</file>